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2B219D" w:rsidRDefault="001A67EA" w:rsidP="001A67EA">
      <w:pPr>
        <w:pStyle w:val="Annexetitre"/>
        <w:spacing w:before="0"/>
      </w:pPr>
      <w:r w:rsidRPr="002B219D">
        <w:t>XVIII PIELIKUMS – Informācijas atklāšana par kredītriska mazināšanas metožu izmantošanu</w:t>
      </w:r>
    </w:p>
    <w:p w14:paraId="180377CB" w14:textId="77777777" w:rsidR="001A67EA" w:rsidRPr="002B219D" w:rsidRDefault="001A67EA" w:rsidP="001A67EA">
      <w:pPr>
        <w:spacing w:after="120"/>
        <w:rPr>
          <w:rFonts w:ascii="Times New Roman" w:hAnsi="Times New Roman" w:cs="Times New Roman"/>
          <w:sz w:val="24"/>
        </w:rPr>
      </w:pPr>
    </w:p>
    <w:p w14:paraId="58177053" w14:textId="77777777" w:rsidR="001A67EA" w:rsidRPr="002B219D" w:rsidRDefault="001A67EA" w:rsidP="001A67EA">
      <w:pPr>
        <w:spacing w:after="120"/>
        <w:rPr>
          <w:rFonts w:ascii="Times New Roman" w:hAnsi="Times New Roman"/>
          <w:sz w:val="24"/>
        </w:rPr>
      </w:pPr>
      <w:r w:rsidRPr="002B219D">
        <w:rPr>
          <w:rFonts w:ascii="Times New Roman" w:hAnsi="Times New Roman"/>
          <w:b/>
          <w:sz w:val="24"/>
        </w:rPr>
        <w:t>Tabula EU CRC – Kvalitatīvās informācijas atklāšanas prasības saistībā ar kredītriska mazināšanas metodēm. Elastīga tabula.</w:t>
      </w:r>
    </w:p>
    <w:p w14:paraId="163D083B" w14:textId="60F05672" w:rsidR="001A67EA" w:rsidRPr="002B219D" w:rsidRDefault="001A67EA" w:rsidP="001A67EA">
      <w:pPr>
        <w:spacing w:after="120"/>
        <w:jc w:val="both"/>
        <w:rPr>
          <w:rFonts w:ascii="Times New Roman" w:hAnsi="Times New Roman" w:cs="Times New Roman"/>
          <w:sz w:val="24"/>
        </w:rPr>
      </w:pPr>
      <w:r w:rsidRPr="002B219D">
        <w:rPr>
          <w:rFonts w:ascii="Times New Roman" w:hAnsi="Times New Roman"/>
          <w:sz w:val="24"/>
        </w:rPr>
        <w:t>Iestādes atklāj Regulas (ES) Nr. 575/2013</w:t>
      </w:r>
      <w:r w:rsidRPr="002B219D">
        <w:rPr>
          <w:rStyle w:val="FootnoteReference"/>
          <w:rFonts w:ascii="Times New Roman" w:hAnsi="Times New Roman" w:cs="Times New Roman"/>
          <w:sz w:val="24"/>
        </w:rPr>
        <w:footnoteReference w:id="1"/>
      </w:r>
      <w:r w:rsidRPr="002B219D">
        <w:rPr>
          <w:rFonts w:ascii="Times New Roman" w:hAnsi="Times New Roman"/>
          <w:sz w:val="24"/>
        </w:rPr>
        <w:t xml:space="preserve"> (“</w:t>
      </w:r>
      <w:r w:rsidRPr="002B219D">
        <w:rPr>
          <w:rFonts w:ascii="Times New Roman" w:hAnsi="Times New Roman"/>
          <w:i/>
          <w:sz w:val="24"/>
        </w:rPr>
        <w:t>CRR</w:t>
      </w:r>
      <w:r w:rsidRPr="002B219D">
        <w:rPr>
          <w:rFonts w:ascii="Times New Roman" w:hAnsi="Times New Roman"/>
          <w:sz w:val="24"/>
        </w:rPr>
        <w:t>”) 453. panta a)–e) punktā minēto informāciju, ievērojot turpmāk šajā pielikumā sniegtos norādījumus, lai aizpildītu EBI IT risinājumu XVII pielikumā ietverto tabulu EU CRC.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2B219D"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2B219D" w:rsidRDefault="001A67EA" w:rsidP="004F3087">
            <w:pPr>
              <w:autoSpaceDE w:val="0"/>
              <w:autoSpaceDN w:val="0"/>
              <w:adjustRightInd w:val="0"/>
              <w:spacing w:after="120"/>
              <w:rPr>
                <w:rFonts w:ascii="Times New Roman" w:hAnsi="Times New Roman" w:cs="Times New Roman"/>
                <w:b/>
                <w:sz w:val="24"/>
              </w:rPr>
            </w:pPr>
            <w:r w:rsidRPr="002B219D">
              <w:rPr>
                <w:rFonts w:ascii="Times New Roman" w:hAnsi="Times New Roman"/>
                <w:b/>
                <w:sz w:val="24"/>
              </w:rPr>
              <w:t>Atsauce</w:t>
            </w:r>
          </w:p>
          <w:p w14:paraId="2309F288" w14:textId="77777777" w:rsidR="001A67EA" w:rsidRPr="002B219D" w:rsidRDefault="001A67EA" w:rsidP="004F3087">
            <w:pPr>
              <w:autoSpaceDE w:val="0"/>
              <w:autoSpaceDN w:val="0"/>
              <w:adjustRightInd w:val="0"/>
              <w:spacing w:after="120"/>
              <w:rPr>
                <w:rFonts w:ascii="Times New Roman" w:hAnsi="Times New Roman" w:cs="Times New Roman"/>
                <w:b/>
                <w:sz w:val="24"/>
              </w:rPr>
            </w:pPr>
            <w:r w:rsidRPr="002B219D">
              <w:rPr>
                <w:rFonts w:ascii="Times New Roman" w:hAnsi="Times New Roman"/>
                <w:b/>
                <w:sz w:val="24"/>
              </w:rPr>
              <w:t>uz rindu</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2B219D" w:rsidRDefault="001A67EA" w:rsidP="004F3087">
            <w:pPr>
              <w:spacing w:after="120"/>
              <w:rPr>
                <w:rFonts w:ascii="Times New Roman" w:hAnsi="Times New Roman" w:cs="Times New Roman"/>
                <w:b/>
                <w:sz w:val="24"/>
              </w:rPr>
            </w:pPr>
            <w:r w:rsidRPr="002B219D">
              <w:rPr>
                <w:rFonts w:ascii="Times New Roman" w:hAnsi="Times New Roman"/>
                <w:b/>
                <w:sz w:val="24"/>
              </w:rPr>
              <w:t>Atsauces uz tiesību aktiem un norādījumi</w:t>
            </w:r>
          </w:p>
        </w:tc>
      </w:tr>
      <w:tr w:rsidR="001A67EA" w:rsidRPr="002B219D"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2B219D"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2B219D" w:rsidRDefault="001A67EA" w:rsidP="004F3087">
            <w:pPr>
              <w:spacing w:after="120"/>
              <w:rPr>
                <w:rFonts w:ascii="Times New Roman" w:hAnsi="Times New Roman" w:cs="Times New Roman"/>
                <w:b/>
                <w:sz w:val="24"/>
              </w:rPr>
            </w:pPr>
            <w:r w:rsidRPr="002B219D">
              <w:rPr>
                <w:rFonts w:ascii="Times New Roman" w:hAnsi="Times New Roman"/>
                <w:b/>
                <w:sz w:val="24"/>
              </w:rPr>
              <w:t>Paskaidrojums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1"/>
        <w:gridCol w:w="1216"/>
        <w:gridCol w:w="6505"/>
      </w:tblGrid>
      <w:tr w:rsidR="001A67EA" w:rsidRPr="002B219D"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color w:val="000000"/>
                <w:sz w:val="24"/>
                <w:lang w:val="lv-LV"/>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i/>
                <w:sz w:val="24"/>
                <w:lang w:val="lv-LV"/>
              </w:rPr>
              <w:t>CRR</w:t>
            </w:r>
            <w:r w:rsidRPr="002B219D">
              <w:rPr>
                <w:rFonts w:ascii="Times New Roman" w:hAnsi="Times New Roman"/>
                <w:sz w:val="24"/>
                <w:lang w:val="lv-LV"/>
              </w:rPr>
              <w:t xml:space="preserve"> 453. panta a) punkts</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xml:space="preserve">Atklājot informāciju par savu ieskaita politiku un ieskaita izmantošanu saskaņā ar </w:t>
            </w:r>
            <w:r w:rsidRPr="002B219D">
              <w:rPr>
                <w:rFonts w:ascii="Times New Roman" w:hAnsi="Times New Roman"/>
                <w:i/>
                <w:sz w:val="24"/>
                <w:lang w:val="lv-LV"/>
              </w:rPr>
              <w:t>CRR</w:t>
            </w:r>
            <w:r w:rsidRPr="002B219D">
              <w:rPr>
                <w:rFonts w:ascii="Times New Roman" w:hAnsi="Times New Roman"/>
                <w:sz w:val="24"/>
                <w:lang w:val="lv-LV"/>
              </w:rPr>
              <w:t xml:space="preserve"> 453. panta a) punktu, iestādes sniedz skaidru aprakstu par kredītriska mazināšanas politiku un procesiem attiecībā uz bilances posteņu, ārpusbilances posteņu savstarpējo prasījumu ieskaita līgumiem un savstarpējo prasījumu ieskaita jumta līgumiem. Tās arī norāda, kādā apmērā ir izmantoti bilances posteņu, ārpusbilances posteņu savstarpējo prasījumu ieskaita līgumi un savstarpējo prasījumu ieskaita jumta līgumi, un to nozīmīgumu attiecībā uz kredītriska pārvaldību. Iestādes var jo īpaši norādīt sīku informāciju par izmantotajām metodēm, kā arī pozīcijām, uz kurām attiecas bilances posteņu savstarpējo prasījumu ieskaita līgumi, un finanšu instrumentiem, kas iekļauti savstarpējo prasījumu ieskaita jumta līgumos. Turklāt var arī aprakstīt nosacījumus, kas nepieciešami, lai nodrošinātu šo metožu efektivitāti, un ieviestos kontroles pasākumus attiecībā uz juridisko risku.</w:t>
            </w:r>
          </w:p>
        </w:tc>
      </w:tr>
      <w:tr w:rsidR="001A67EA" w:rsidRPr="002B219D" w14:paraId="088E4178" w14:textId="77777777" w:rsidTr="004F3087">
        <w:trPr>
          <w:trHeight w:val="841"/>
        </w:trPr>
        <w:tc>
          <w:tcPr>
            <w:tcW w:w="1407" w:type="dxa"/>
          </w:tcPr>
          <w:p w14:paraId="16A703B9"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color w:val="000000"/>
                <w:sz w:val="24"/>
                <w:lang w:val="lv-LV"/>
              </w:rPr>
              <w:t>b)</w:t>
            </w:r>
          </w:p>
        </w:tc>
        <w:tc>
          <w:tcPr>
            <w:tcW w:w="883" w:type="dxa"/>
          </w:tcPr>
          <w:p w14:paraId="20468003" w14:textId="77777777" w:rsidR="001A67EA" w:rsidRPr="002B219D" w:rsidRDefault="001A67EA" w:rsidP="004F3087">
            <w:pPr>
              <w:spacing w:after="120"/>
              <w:jc w:val="both"/>
              <w:rPr>
                <w:rFonts w:ascii="Times New Roman" w:eastAsia="Times New Roman" w:hAnsi="Times New Roman" w:cs="Times New Roman"/>
                <w:iCs/>
                <w:sz w:val="24"/>
                <w:lang w:val="lv-LV"/>
              </w:rPr>
            </w:pPr>
            <w:r w:rsidRPr="002B219D">
              <w:rPr>
                <w:rFonts w:ascii="Times New Roman" w:hAnsi="Times New Roman"/>
                <w:i/>
                <w:sz w:val="24"/>
                <w:lang w:val="lv-LV"/>
              </w:rPr>
              <w:t>CRR</w:t>
            </w:r>
            <w:r w:rsidRPr="002B219D">
              <w:rPr>
                <w:rFonts w:ascii="Times New Roman" w:hAnsi="Times New Roman"/>
                <w:sz w:val="24"/>
                <w:lang w:val="lv-LV"/>
              </w:rPr>
              <w:t xml:space="preserve"> 453. panta</w:t>
            </w:r>
          </w:p>
          <w:p w14:paraId="4BA9C895"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b) punkts</w:t>
            </w:r>
          </w:p>
        </w:tc>
        <w:tc>
          <w:tcPr>
            <w:tcW w:w="6782" w:type="dxa"/>
          </w:tcPr>
          <w:p w14:paraId="4B80DFA2"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xml:space="preserve">Atklājot informāciju par savas atbilstīga nodrošinājuma novērtēšanas un pārvaldīšanas politikas un procesu pamatelementiem saskaņā ar </w:t>
            </w:r>
            <w:r w:rsidRPr="002B219D">
              <w:rPr>
                <w:rFonts w:ascii="Times New Roman" w:hAnsi="Times New Roman"/>
                <w:i/>
                <w:sz w:val="24"/>
                <w:lang w:val="lv-LV"/>
              </w:rPr>
              <w:t>CRR</w:t>
            </w:r>
            <w:r w:rsidRPr="002B219D">
              <w:rPr>
                <w:rFonts w:ascii="Times New Roman" w:hAnsi="Times New Roman"/>
                <w:sz w:val="24"/>
                <w:lang w:val="lv-LV"/>
              </w:rPr>
              <w:t xml:space="preserve"> 453. panta b) punktu, iestādes atklāj šādas ziņas:</w:t>
            </w:r>
          </w:p>
          <w:p w14:paraId="2A102C16"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ieķīlātā nodrošinājuma novērtēšanas un izvērtēšanas pamats, ieskaitot kredītriska pārvaldības metožu juridiskās noteiktības novērtējumu,</w:t>
            </w:r>
          </w:p>
          <w:p w14:paraId="4978007D"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novērtēšanas metodes (tirgus vērtība, hipotekārā vērtība, citi vērtību veidi),</w:t>
            </w:r>
          </w:p>
          <w:p w14:paraId="1BB7939A"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ciktāl aprēķināto nodrošinājuma vērtību samazina diskonts,</w:t>
            </w:r>
          </w:p>
          <w:p w14:paraId="6CA64CC4"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hipotēkas nodrošinājumam un cita lietiskā nodrošinājuma vērtības uzraudzības process, biežums un metodes.</w:t>
            </w:r>
          </w:p>
          <w:p w14:paraId="42DBE288"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Turklāt iestādes var arī atklāt, vai pastāv kredītriska darījumu ierobežojumu sistēma un kāda ir pieņemtā nodrošinājuma ietekme šo ierobežojumu skaitliskā noteikšanā.</w:t>
            </w:r>
          </w:p>
        </w:tc>
      </w:tr>
      <w:tr w:rsidR="001A67EA" w:rsidRPr="002B219D" w:rsidDel="00915DC9" w14:paraId="3A5626B8" w14:textId="77777777" w:rsidTr="004F3087">
        <w:trPr>
          <w:trHeight w:val="973"/>
        </w:trPr>
        <w:tc>
          <w:tcPr>
            <w:tcW w:w="1407" w:type="dxa"/>
          </w:tcPr>
          <w:p w14:paraId="547245B3"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color w:val="000000"/>
                <w:sz w:val="24"/>
                <w:lang w:val="lv-LV"/>
              </w:rPr>
              <w:lastRenderedPageBreak/>
              <w:t>c)</w:t>
            </w:r>
          </w:p>
        </w:tc>
        <w:tc>
          <w:tcPr>
            <w:tcW w:w="883" w:type="dxa"/>
          </w:tcPr>
          <w:p w14:paraId="3EE8CB34"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i/>
                <w:sz w:val="24"/>
                <w:lang w:val="lv-LV"/>
              </w:rPr>
              <w:t>CRR</w:t>
            </w:r>
            <w:r w:rsidRPr="002B219D">
              <w:rPr>
                <w:rFonts w:ascii="Times New Roman" w:hAnsi="Times New Roman"/>
                <w:sz w:val="24"/>
                <w:lang w:val="lv-LV"/>
              </w:rPr>
              <w:t xml:space="preserve"> 453. panta c) punkts</w:t>
            </w:r>
          </w:p>
        </w:tc>
        <w:tc>
          <w:tcPr>
            <w:tcW w:w="6782" w:type="dxa"/>
          </w:tcPr>
          <w:p w14:paraId="03C8684E" w14:textId="77777777" w:rsidR="001A67EA" w:rsidRPr="002B219D" w:rsidDel="00915DC9"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xml:space="preserve">Raksturojot nodrošinājumu, kas pieņemts saskaņā ar </w:t>
            </w:r>
            <w:r w:rsidRPr="002B219D">
              <w:rPr>
                <w:rFonts w:ascii="Times New Roman" w:hAnsi="Times New Roman"/>
                <w:i/>
                <w:sz w:val="24"/>
                <w:lang w:val="lv-LV"/>
              </w:rPr>
              <w:t>CRR</w:t>
            </w:r>
            <w:r w:rsidRPr="002B219D">
              <w:rPr>
                <w:rFonts w:ascii="Times New Roman" w:hAnsi="Times New Roman"/>
                <w:sz w:val="24"/>
                <w:lang w:val="lv-LV"/>
              </w:rPr>
              <w:t xml:space="preserve"> 453. panta c) punktu, iestādes sniedz sīku aprakstu par kredītriska mazināšanai pieņemtā nodrošinājuma galvenajiem veidiem sadalījumā pa riska darījumu veidiem.</w:t>
            </w:r>
          </w:p>
        </w:tc>
      </w:tr>
      <w:tr w:rsidR="001A67EA" w:rsidRPr="002B219D" w14:paraId="0B958E6C" w14:textId="77777777" w:rsidTr="004F3087">
        <w:trPr>
          <w:trHeight w:val="1265"/>
        </w:trPr>
        <w:tc>
          <w:tcPr>
            <w:tcW w:w="1407" w:type="dxa"/>
          </w:tcPr>
          <w:p w14:paraId="16182508"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color w:val="000000"/>
                <w:sz w:val="24"/>
                <w:lang w:val="lv-LV"/>
              </w:rPr>
              <w:t>d)</w:t>
            </w:r>
          </w:p>
        </w:tc>
        <w:tc>
          <w:tcPr>
            <w:tcW w:w="883" w:type="dxa"/>
          </w:tcPr>
          <w:p w14:paraId="3751629F"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i/>
                <w:sz w:val="24"/>
                <w:lang w:val="lv-LV"/>
              </w:rPr>
              <w:t>CRR</w:t>
            </w:r>
            <w:r w:rsidRPr="002B219D">
              <w:rPr>
                <w:rFonts w:ascii="Times New Roman" w:hAnsi="Times New Roman"/>
                <w:sz w:val="24"/>
                <w:lang w:val="lv-LV"/>
              </w:rPr>
              <w:t xml:space="preserve"> 453. panta d) punkts</w:t>
            </w:r>
          </w:p>
        </w:tc>
        <w:tc>
          <w:tcPr>
            <w:tcW w:w="6782" w:type="dxa"/>
          </w:tcPr>
          <w:p w14:paraId="484148E0"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xml:space="preserve">Aprakstā par galvenajiem garantijas devējiem un kredītu atvasināto instrumentu darījuma partneru veidiem un to kredītspēju, kas jāatklāj saskaņā ar </w:t>
            </w:r>
            <w:r w:rsidRPr="002B219D">
              <w:rPr>
                <w:rFonts w:ascii="Times New Roman" w:hAnsi="Times New Roman"/>
                <w:i/>
                <w:sz w:val="24"/>
                <w:lang w:val="lv-LV"/>
              </w:rPr>
              <w:t>CRR</w:t>
            </w:r>
            <w:r w:rsidRPr="002B219D">
              <w:rPr>
                <w:rFonts w:ascii="Times New Roman" w:hAnsi="Times New Roman"/>
                <w:sz w:val="24"/>
                <w:lang w:val="lv-LV"/>
              </w:rPr>
              <w:t xml:space="preserve"> 453. panta d) punktu, ietver kredīta atvasinātos instrumentus, kurus izmanto kapitāla prasību samazināšanas nolūkos, izņemot instrumentus, kurus izmanto kā daļu no sintētiskās </w:t>
            </w:r>
            <w:proofErr w:type="spellStart"/>
            <w:r w:rsidRPr="002B219D">
              <w:rPr>
                <w:rFonts w:ascii="Times New Roman" w:hAnsi="Times New Roman"/>
                <w:sz w:val="24"/>
                <w:lang w:val="lv-LV"/>
              </w:rPr>
              <w:t>vērtspapīrošanas</w:t>
            </w:r>
            <w:proofErr w:type="spellEnd"/>
            <w:r w:rsidRPr="002B219D">
              <w:rPr>
                <w:rFonts w:ascii="Times New Roman" w:hAnsi="Times New Roman"/>
                <w:sz w:val="24"/>
                <w:lang w:val="lv-LV"/>
              </w:rPr>
              <w:t xml:space="preserve"> struktūrām. Iestādes var arī iekļaut aprakstu par metodēm, ko izmanto, lai atzītu to garantiju vai kredītu atvasināto instrumentu ietekmi, kurus sniedz galveno veidu garantijas devēji un darījuma partneri. </w:t>
            </w:r>
          </w:p>
        </w:tc>
      </w:tr>
      <w:tr w:rsidR="001A67EA" w:rsidRPr="002B219D" w14:paraId="45D6C7FC" w14:textId="77777777" w:rsidTr="004F3087">
        <w:trPr>
          <w:trHeight w:val="1405"/>
        </w:trPr>
        <w:tc>
          <w:tcPr>
            <w:tcW w:w="1407" w:type="dxa"/>
          </w:tcPr>
          <w:p w14:paraId="03857EEF"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color w:val="000000"/>
                <w:sz w:val="24"/>
                <w:lang w:val="lv-LV"/>
              </w:rPr>
              <w:t>e)</w:t>
            </w:r>
          </w:p>
        </w:tc>
        <w:tc>
          <w:tcPr>
            <w:tcW w:w="883" w:type="dxa"/>
          </w:tcPr>
          <w:p w14:paraId="3363450E"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i/>
                <w:sz w:val="24"/>
                <w:lang w:val="lv-LV"/>
              </w:rPr>
              <w:t>CRR</w:t>
            </w:r>
            <w:r w:rsidRPr="002B219D">
              <w:rPr>
                <w:rFonts w:ascii="Times New Roman" w:hAnsi="Times New Roman"/>
                <w:sz w:val="24"/>
                <w:lang w:val="lv-LV"/>
              </w:rPr>
              <w:t xml:space="preserve"> 453. panta e) punkts</w:t>
            </w:r>
          </w:p>
        </w:tc>
        <w:tc>
          <w:tcPr>
            <w:tcW w:w="6782" w:type="dxa"/>
          </w:tcPr>
          <w:p w14:paraId="025D06B4"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xml:space="preserve">Atklājot informāciju par tirgus vai kredītriska koncentrācijām kredītriska mazināšanas pasākumos, kurus veic saskaņā ar </w:t>
            </w:r>
            <w:r w:rsidRPr="002B219D">
              <w:rPr>
                <w:rFonts w:ascii="Times New Roman" w:hAnsi="Times New Roman"/>
                <w:i/>
                <w:sz w:val="24"/>
                <w:lang w:val="lv-LV"/>
              </w:rPr>
              <w:t>CRR</w:t>
            </w:r>
            <w:r w:rsidRPr="002B219D">
              <w:rPr>
                <w:rFonts w:ascii="Times New Roman" w:hAnsi="Times New Roman"/>
                <w:sz w:val="24"/>
                <w:lang w:val="lv-LV"/>
              </w:rPr>
              <w:t xml:space="preserve"> 453. panta e) punktu, iestādes sniedz analīzi par jebkuru koncentrāciju, kas izriet saistībā ar kredītriska mazināšanas pasākumiem un var kaitēt kredītriska mazināšanas instrumentu efektivitātei. Koncentrācijas, uz kurām attiecas atklājamā informācija, var ietvert koncentrācijas sadalījumā pa instrumentu veidiem, ko izmanto kā nodrošinājumu, struktūrām (koncentrācija sadalījumā pa garantijas devēju veidiem un kredītu atvasināto instrumentu sniedzējiem), sektoriem, ģeogrāfisko teritoriju, reitingu vai citiem faktoriem, kuri var ietekmēt aizsardzības vērtību un tādējādi samazināt šo aizsardzību.</w:t>
            </w:r>
          </w:p>
        </w:tc>
      </w:tr>
    </w:tbl>
    <w:p w14:paraId="5BC2E8E9" w14:textId="77777777" w:rsidR="001A67EA" w:rsidRPr="002B219D" w:rsidRDefault="001A67EA" w:rsidP="001A67EA">
      <w:pPr>
        <w:spacing w:after="120"/>
        <w:rPr>
          <w:rFonts w:ascii="Times New Roman" w:hAnsi="Times New Roman" w:cs="Times New Roman"/>
          <w:sz w:val="24"/>
        </w:rPr>
      </w:pPr>
    </w:p>
    <w:p w14:paraId="5F6E25BC" w14:textId="77777777" w:rsidR="001A67EA" w:rsidRPr="002B219D" w:rsidRDefault="001A67EA" w:rsidP="001A67EA">
      <w:pPr>
        <w:spacing w:after="120"/>
        <w:rPr>
          <w:rFonts w:ascii="Times New Roman" w:hAnsi="Times New Roman" w:cs="Times New Roman"/>
          <w:b/>
          <w:sz w:val="24"/>
        </w:rPr>
      </w:pPr>
      <w:r w:rsidRPr="002B219D">
        <w:rPr>
          <w:rFonts w:ascii="Times New Roman" w:hAnsi="Times New Roman"/>
          <w:b/>
          <w:sz w:val="24"/>
        </w:rPr>
        <w:t>Veidne EU CR3 – Pārskats par kredītriska mazināšanas metodēm. Informācijas atklāšana par kredītriska mazināšanas metožu izmantošanu. Fiksēta veidne.</w:t>
      </w:r>
    </w:p>
    <w:p w14:paraId="1FAA7723" w14:textId="77777777" w:rsidR="001A67EA" w:rsidRPr="002B219D" w:rsidRDefault="001A67EA" w:rsidP="001A67EA">
      <w:pPr>
        <w:spacing w:after="120"/>
        <w:jc w:val="both"/>
        <w:rPr>
          <w:rFonts w:ascii="Times New Roman" w:hAnsi="Times New Roman" w:cs="Times New Roman"/>
          <w:sz w:val="24"/>
        </w:rPr>
      </w:pPr>
      <w:r w:rsidRPr="002B219D">
        <w:rPr>
          <w:rFonts w:ascii="Times New Roman" w:hAnsi="Times New Roman"/>
          <w:sz w:val="24"/>
        </w:rPr>
        <w:t xml:space="preserve">Iestādes atklāj </w:t>
      </w:r>
      <w:r w:rsidRPr="002B219D">
        <w:rPr>
          <w:rFonts w:ascii="Times New Roman" w:hAnsi="Times New Roman"/>
          <w:i/>
          <w:sz w:val="24"/>
        </w:rPr>
        <w:t>CRR</w:t>
      </w:r>
      <w:r w:rsidRPr="002B219D">
        <w:rPr>
          <w:rFonts w:ascii="Times New Roman" w:hAnsi="Times New Roman"/>
          <w:sz w:val="24"/>
        </w:rPr>
        <w:t xml:space="preserve"> 453. panta f) punktā minēto informāciju, ievērojot turpmāk šajā pielikumā sniegtos norādījumus, lai aizpildītu šīs īstenošanas regulas XVII pielikumā ietverto veidni EU CR3.</w:t>
      </w:r>
    </w:p>
    <w:p w14:paraId="69A94B62" w14:textId="77777777" w:rsidR="001A67EA" w:rsidRPr="002B219D" w:rsidRDefault="001A67EA" w:rsidP="001A67EA">
      <w:pPr>
        <w:spacing w:after="120"/>
        <w:jc w:val="both"/>
        <w:rPr>
          <w:rFonts w:ascii="Times New Roman" w:eastAsia="Times New Roman" w:hAnsi="Times New Roman" w:cs="Times New Roman"/>
          <w:b/>
          <w:iCs/>
          <w:sz w:val="24"/>
        </w:rPr>
      </w:pPr>
      <w:r w:rsidRPr="002B219D">
        <w:rPr>
          <w:rFonts w:ascii="Times New Roman" w:hAnsi="Times New Roman"/>
          <w:sz w:val="24"/>
        </w:rPr>
        <w:t xml:space="preserve">Šī veidne attiecas uz visām kredītriska mazināšanas metodēm, kuras atzītas saskaņā ar piemērojamo grāmatvedības regulējumu, neatkarīgi no tā, vai šīs metodes ir atzītas saskaņā ar </w:t>
      </w:r>
      <w:r w:rsidRPr="002B219D">
        <w:rPr>
          <w:rFonts w:ascii="Times New Roman" w:hAnsi="Times New Roman"/>
          <w:i/>
          <w:sz w:val="24"/>
        </w:rPr>
        <w:t>CRR</w:t>
      </w:r>
      <w:r w:rsidRPr="002B219D">
        <w:rPr>
          <w:rFonts w:ascii="Times New Roman" w:hAnsi="Times New Roman"/>
          <w:sz w:val="24"/>
        </w:rPr>
        <w:t>, tajā skaitā (bet ne tikai) visiem nodrošinājuma, finanšu garantiju un kredītu atvasināto instrumentu veidiem, ko izmanto visiem nodrošinātajiem riska darījumiem, neatkarīgi no tā, vai riska darījuma riska svērtās vērtības (</w:t>
      </w:r>
      <w:r w:rsidRPr="002B219D">
        <w:rPr>
          <w:rFonts w:ascii="Times New Roman" w:hAnsi="Times New Roman"/>
          <w:i/>
          <w:sz w:val="24"/>
        </w:rPr>
        <w:t>RWEA</w:t>
      </w:r>
      <w:r w:rsidRPr="002B219D">
        <w:rPr>
          <w:rFonts w:ascii="Times New Roman" w:hAnsi="Times New Roman"/>
          <w:sz w:val="24"/>
        </w:rPr>
        <w:t xml:space="preserve">) aprēķināšanai izmanto standartizēto pieeju vai </w:t>
      </w:r>
      <w:r w:rsidRPr="002B219D">
        <w:rPr>
          <w:rFonts w:ascii="Times New Roman" w:hAnsi="Times New Roman"/>
          <w:i/>
          <w:sz w:val="24"/>
        </w:rPr>
        <w:t>IRB</w:t>
      </w:r>
      <w:r w:rsidRPr="002B219D">
        <w:rPr>
          <w:rFonts w:ascii="Times New Roman" w:hAnsi="Times New Roman"/>
          <w:sz w:val="24"/>
        </w:rPr>
        <w:t xml:space="preserve"> pieeju. Iestādes papildina veidni ar paskaidrojošu piezīmi, kurā izklāsta visas būtiskās izmaiņas informācijas atklāšanas periodā un šādu izmaiņu galvenos </w:t>
      </w:r>
      <w:proofErr w:type="spellStart"/>
      <w:r w:rsidRPr="002B219D">
        <w:rPr>
          <w:rFonts w:ascii="Times New Roman" w:hAnsi="Times New Roman"/>
          <w:sz w:val="24"/>
        </w:rPr>
        <w:t>veicinātājfaktorus</w:t>
      </w:r>
      <w:proofErr w:type="spellEnd"/>
      <w:r w:rsidRPr="002B219D">
        <w:rPr>
          <w:rFonts w:ascii="Times New Roman" w:hAnsi="Times New Roman"/>
          <w:sz w:val="24"/>
        </w:rPr>
        <w:t>.</w:t>
      </w:r>
    </w:p>
    <w:p w14:paraId="1EBDEE5B" w14:textId="77777777" w:rsidR="001A67EA" w:rsidRPr="002B219D"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2B219D"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2B219D" w:rsidRDefault="001A67EA" w:rsidP="004F3087">
            <w:pPr>
              <w:autoSpaceDE w:val="0"/>
              <w:autoSpaceDN w:val="0"/>
              <w:adjustRightInd w:val="0"/>
              <w:spacing w:after="120"/>
              <w:rPr>
                <w:rFonts w:ascii="Times New Roman" w:hAnsi="Times New Roman" w:cs="Times New Roman"/>
                <w:b/>
                <w:sz w:val="24"/>
              </w:rPr>
            </w:pPr>
            <w:r w:rsidRPr="002B219D">
              <w:rPr>
                <w:rFonts w:ascii="Times New Roman" w:hAnsi="Times New Roman"/>
                <w:b/>
                <w:sz w:val="24"/>
              </w:rPr>
              <w:t>Atsauce uz aili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2B219D" w:rsidRDefault="001A67EA" w:rsidP="004F3087">
            <w:pPr>
              <w:spacing w:after="120"/>
              <w:rPr>
                <w:rFonts w:ascii="Times New Roman" w:hAnsi="Times New Roman" w:cs="Times New Roman"/>
                <w:b/>
                <w:sz w:val="24"/>
              </w:rPr>
            </w:pPr>
            <w:r w:rsidRPr="002B219D">
              <w:rPr>
                <w:rFonts w:ascii="Times New Roman" w:hAnsi="Times New Roman"/>
                <w:b/>
                <w:sz w:val="24"/>
              </w:rPr>
              <w:t>Atsauces uz tiesību aktiem un norādījumi</w:t>
            </w:r>
          </w:p>
        </w:tc>
      </w:tr>
      <w:tr w:rsidR="001A67EA" w:rsidRPr="002B219D"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2B219D"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2B219D" w:rsidRDefault="001A67EA" w:rsidP="004F3087">
            <w:pPr>
              <w:spacing w:after="120"/>
              <w:rPr>
                <w:rFonts w:ascii="Times New Roman" w:hAnsi="Times New Roman" w:cs="Times New Roman"/>
                <w:b/>
                <w:sz w:val="24"/>
              </w:rPr>
            </w:pPr>
            <w:r w:rsidRPr="002B219D">
              <w:rPr>
                <w:rFonts w:ascii="Times New Roman" w:hAnsi="Times New Roman"/>
                <w:b/>
                <w:sz w:val="24"/>
              </w:rPr>
              <w:t>Paskaidrojums</w:t>
            </w:r>
          </w:p>
        </w:tc>
      </w:tr>
      <w:tr w:rsidR="001A67EA" w:rsidRPr="002B219D" w14:paraId="35223F05" w14:textId="77777777" w:rsidTr="004F3087">
        <w:trPr>
          <w:trHeight w:val="316"/>
        </w:trPr>
        <w:tc>
          <w:tcPr>
            <w:tcW w:w="1413" w:type="dxa"/>
          </w:tcPr>
          <w:p w14:paraId="25792023"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sz w:val="24"/>
              </w:rPr>
            </w:pPr>
            <w:r w:rsidRPr="002B219D">
              <w:rPr>
                <w:rFonts w:ascii="Times New Roman" w:hAnsi="Times New Roman"/>
                <w:sz w:val="24"/>
              </w:rPr>
              <w:t>a</w:t>
            </w:r>
          </w:p>
        </w:tc>
        <w:tc>
          <w:tcPr>
            <w:tcW w:w="7654" w:type="dxa"/>
          </w:tcPr>
          <w:p w14:paraId="32D2A419"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b/>
                <w:iCs/>
                <w:sz w:val="24"/>
              </w:rPr>
            </w:pPr>
            <w:r w:rsidRPr="002B219D">
              <w:rPr>
                <w:rFonts w:ascii="Times New Roman" w:hAnsi="Times New Roman"/>
                <w:b/>
                <w:sz w:val="24"/>
              </w:rPr>
              <w:t xml:space="preserve">Nenodrošinātā uzskaites vērtība </w:t>
            </w:r>
          </w:p>
          <w:p w14:paraId="55EE3490"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iCs/>
                <w:sz w:val="24"/>
              </w:rPr>
            </w:pPr>
            <w:r w:rsidRPr="002B219D">
              <w:rPr>
                <w:rFonts w:ascii="Times New Roman" w:hAnsi="Times New Roman"/>
                <w:sz w:val="24"/>
              </w:rPr>
              <w:t xml:space="preserve">To riska darījumu uzskaites vērtība (bez atskaitījumiem un vērtības samazinājumiem), kuriem neizmanto nevienu kredītriska mazināšanas metodi, neatkarīgi no tā, vai šī metode ir atzīta saskaņā ar </w:t>
            </w:r>
            <w:r w:rsidRPr="002B219D">
              <w:rPr>
                <w:rFonts w:ascii="Times New Roman" w:hAnsi="Times New Roman"/>
                <w:i/>
                <w:sz w:val="24"/>
              </w:rPr>
              <w:t>CRR</w:t>
            </w:r>
            <w:r w:rsidRPr="002B219D">
              <w:rPr>
                <w:rFonts w:ascii="Times New Roman" w:hAnsi="Times New Roman"/>
                <w:sz w:val="24"/>
              </w:rPr>
              <w:t xml:space="preserve">. </w:t>
            </w:r>
          </w:p>
          <w:p w14:paraId="2E635E37"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sz w:val="24"/>
              </w:rPr>
            </w:pPr>
            <w:r w:rsidRPr="002B219D">
              <w:rPr>
                <w:rFonts w:ascii="Times New Roman" w:hAnsi="Times New Roman"/>
                <w:sz w:val="24"/>
              </w:rPr>
              <w:lastRenderedPageBreak/>
              <w:t>Tas jo īpaši attiecas uz riska darījumiem, par kuriem nav nedz ieķīlāts nodrošinājums, nedz saņemtas finanšu garantijas. Neiekļauj daļēji nodrošināta vai daļēji garantēta riska darījuma nenodrošināto daļu.</w:t>
            </w:r>
          </w:p>
        </w:tc>
      </w:tr>
      <w:tr w:rsidR="001A67EA" w:rsidRPr="002B219D" w14:paraId="475E6E51" w14:textId="77777777" w:rsidTr="004F3087">
        <w:trPr>
          <w:trHeight w:val="316"/>
        </w:trPr>
        <w:tc>
          <w:tcPr>
            <w:tcW w:w="1413" w:type="dxa"/>
          </w:tcPr>
          <w:p w14:paraId="7DD870E3"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sz w:val="24"/>
              </w:rPr>
            </w:pPr>
            <w:r w:rsidRPr="002B219D">
              <w:rPr>
                <w:rFonts w:ascii="Times New Roman" w:hAnsi="Times New Roman"/>
                <w:sz w:val="24"/>
              </w:rPr>
              <w:lastRenderedPageBreak/>
              <w:t>b</w:t>
            </w:r>
          </w:p>
        </w:tc>
        <w:tc>
          <w:tcPr>
            <w:tcW w:w="7654" w:type="dxa"/>
          </w:tcPr>
          <w:p w14:paraId="736FBF01"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b/>
                <w:iCs/>
                <w:sz w:val="24"/>
              </w:rPr>
            </w:pPr>
            <w:r w:rsidRPr="002B219D">
              <w:rPr>
                <w:rFonts w:ascii="Times New Roman" w:hAnsi="Times New Roman"/>
                <w:b/>
                <w:sz w:val="24"/>
              </w:rPr>
              <w:t xml:space="preserve">Nodrošinātā uzskaites vērtība </w:t>
            </w:r>
          </w:p>
          <w:p w14:paraId="20FF8406"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iCs/>
                <w:sz w:val="24"/>
              </w:rPr>
            </w:pPr>
            <w:r w:rsidRPr="002B219D">
              <w:rPr>
                <w:rFonts w:ascii="Times New Roman" w:hAnsi="Times New Roman"/>
                <w:sz w:val="24"/>
              </w:rPr>
              <w:t>To riska darījumu uzskaites vērtība, ar kuriem ir saistīta vismaz viena kredītriska mazināšanas metode (nodrošinājums, finanšu garantijas, kredītu atvasinātie instrumenti)</w:t>
            </w:r>
          </w:p>
          <w:p w14:paraId="05789AFF"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iCs/>
                <w:sz w:val="24"/>
              </w:rPr>
            </w:pPr>
            <w:r w:rsidRPr="002B219D">
              <w:rPr>
                <w:rFonts w:ascii="Times New Roman" w:hAnsi="Times New Roman"/>
                <w:sz w:val="24"/>
              </w:rPr>
              <w:t>Ja riska darījuma nodrošināšanai izmantotā nodrošinājuma, finanšu garantiju un kredītu atvasināto instrumentu vērtība pārsniedz konkrētā riska darījuma uzskaites vērtību, iekļauj tikai vērtības līdz riska darījuma uzskaites vērtībai. Ja riska darījuma uzskaites vērtība pārsniedz riska darījuma nodrošināšanai izmantotā nodrošinājuma, finanšu garantiju un kredītu atvasināto instrumentu vērtību, iekļauj attiecīgā riska darījuma pilnu uzskaites vērtību.</w:t>
            </w:r>
          </w:p>
          <w:p w14:paraId="7EDEE0AE"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sz w:val="24"/>
              </w:rPr>
            </w:pPr>
            <w:r w:rsidRPr="002B219D">
              <w:rPr>
                <w:rFonts w:ascii="Times New Roman" w:hAnsi="Times New Roman"/>
                <w:sz w:val="24"/>
              </w:rPr>
              <w:t xml:space="preserve">Veidnes c, d un e ailes vajadzībām daudzkārtēji nodrošināto riska darījumu uzskaites vērtības sasaistīšanu ar to dažādajām kredītriska mazināšanas metodēm veic prioritārā secībā, sākot ar kredītriska mazināšanas metodi, kas, kā paredzams, tiks pieprasīta kā pirmā maksājuma neveikšanas gadījumā, un nodrošināto riska darījumu uzskaites vērtības robežās. Jebkuru riska darījuma daļu iekļauj tikai vienā no šādām šīs veidnes ailēm – c, d vai e. </w:t>
            </w:r>
          </w:p>
        </w:tc>
      </w:tr>
      <w:tr w:rsidR="001A67EA" w:rsidRPr="002B219D" w14:paraId="37B3496C" w14:textId="77777777" w:rsidTr="004F3087">
        <w:trPr>
          <w:trHeight w:val="316"/>
        </w:trPr>
        <w:tc>
          <w:tcPr>
            <w:tcW w:w="1413" w:type="dxa"/>
          </w:tcPr>
          <w:p w14:paraId="0CBB040D"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sz w:val="24"/>
              </w:rPr>
            </w:pPr>
            <w:r w:rsidRPr="002B219D">
              <w:rPr>
                <w:rFonts w:ascii="Times New Roman" w:hAnsi="Times New Roman"/>
                <w:sz w:val="24"/>
              </w:rPr>
              <w:t>c</w:t>
            </w:r>
          </w:p>
        </w:tc>
        <w:tc>
          <w:tcPr>
            <w:tcW w:w="7654" w:type="dxa"/>
          </w:tcPr>
          <w:p w14:paraId="7D972C67"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b/>
                <w:iCs/>
                <w:sz w:val="24"/>
              </w:rPr>
            </w:pPr>
            <w:r w:rsidRPr="002B219D">
              <w:rPr>
                <w:rFonts w:ascii="Times New Roman" w:hAnsi="Times New Roman"/>
                <w:b/>
                <w:sz w:val="24"/>
              </w:rPr>
              <w:t xml:space="preserve">T.sk. nodrošināti ar nodrošinājumu </w:t>
            </w:r>
          </w:p>
          <w:p w14:paraId="2B8F68C6"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iCs/>
                <w:sz w:val="24"/>
              </w:rPr>
            </w:pPr>
            <w:r w:rsidRPr="002B219D">
              <w:rPr>
                <w:rFonts w:ascii="Times New Roman" w:hAnsi="Times New Roman"/>
                <w:sz w:val="24"/>
              </w:rPr>
              <w:t>Šī ir šīs veidnes b ailes apakškopa, un tajā norāda ar nodrošinājumu nodrošināto riska darījumu (bez atskaitījumiem / vērtības samazinājumiem) vai riska darījumu daļu uzskaites vērtību. Ja riska darījums ir nodrošināts ar nodrošinājumu un citu(-</w:t>
            </w:r>
            <w:proofErr w:type="spellStart"/>
            <w:r w:rsidRPr="002B219D">
              <w:rPr>
                <w:rFonts w:ascii="Times New Roman" w:hAnsi="Times New Roman"/>
                <w:sz w:val="24"/>
              </w:rPr>
              <w:t>ām</w:t>
            </w:r>
            <w:proofErr w:type="spellEnd"/>
            <w:r w:rsidRPr="002B219D">
              <w:rPr>
                <w:rFonts w:ascii="Times New Roman" w:hAnsi="Times New Roman"/>
                <w:sz w:val="24"/>
              </w:rPr>
              <w:t>) kredītriska mazināšanas metodi(-</w:t>
            </w:r>
            <w:proofErr w:type="spellStart"/>
            <w:r w:rsidRPr="002B219D">
              <w:rPr>
                <w:rFonts w:ascii="Times New Roman" w:hAnsi="Times New Roman"/>
                <w:sz w:val="24"/>
              </w:rPr>
              <w:t>ēm</w:t>
            </w:r>
            <w:proofErr w:type="spellEnd"/>
            <w:r w:rsidRPr="002B219D">
              <w:rPr>
                <w:rFonts w:ascii="Times New Roman" w:hAnsi="Times New Roman"/>
                <w:sz w:val="24"/>
              </w:rPr>
              <w:t>), kas, kā paredzams, tiks pieprasīta(-</w:t>
            </w:r>
            <w:proofErr w:type="spellStart"/>
            <w:r w:rsidRPr="002B219D">
              <w:rPr>
                <w:rFonts w:ascii="Times New Roman" w:hAnsi="Times New Roman"/>
                <w:sz w:val="24"/>
              </w:rPr>
              <w:t>as</w:t>
            </w:r>
            <w:proofErr w:type="spellEnd"/>
            <w:r w:rsidRPr="002B219D">
              <w:rPr>
                <w:rFonts w:ascii="Times New Roman" w:hAnsi="Times New Roman"/>
                <w:sz w:val="24"/>
              </w:rPr>
              <w:t>) kā pirmā(-</w:t>
            </w:r>
            <w:proofErr w:type="spellStart"/>
            <w:r w:rsidRPr="002B219D">
              <w:rPr>
                <w:rFonts w:ascii="Times New Roman" w:hAnsi="Times New Roman"/>
                <w:sz w:val="24"/>
              </w:rPr>
              <w:t>ās</w:t>
            </w:r>
            <w:proofErr w:type="spellEnd"/>
            <w:r w:rsidRPr="002B219D">
              <w:rPr>
                <w:rFonts w:ascii="Times New Roman" w:hAnsi="Times New Roman"/>
                <w:sz w:val="24"/>
              </w:rPr>
              <w:t>) maksājuma neveikšanas gadījumā, ar nodrošinājumu nodrošinātā riska darījuma uzskaites vērtība ir riska darījuma atlikusī daļa pēc to riska darījumu daļu ņemšanas vērā, kas jau ir nodrošinātas ar citām kredītriska mazināšanas metodēm, līdz konkrētā riska darījuma uzskaites vērtībai.</w:t>
            </w:r>
          </w:p>
        </w:tc>
      </w:tr>
      <w:tr w:rsidR="001A67EA" w:rsidRPr="002B219D" w14:paraId="50B32400" w14:textId="77777777" w:rsidTr="004F3087">
        <w:trPr>
          <w:trHeight w:val="316"/>
        </w:trPr>
        <w:tc>
          <w:tcPr>
            <w:tcW w:w="1413" w:type="dxa"/>
          </w:tcPr>
          <w:p w14:paraId="741497BC"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sz w:val="24"/>
              </w:rPr>
            </w:pPr>
            <w:r w:rsidRPr="002B219D">
              <w:rPr>
                <w:rFonts w:ascii="Times New Roman" w:hAnsi="Times New Roman"/>
                <w:sz w:val="24"/>
              </w:rPr>
              <w:t>d</w:t>
            </w:r>
          </w:p>
        </w:tc>
        <w:tc>
          <w:tcPr>
            <w:tcW w:w="7654" w:type="dxa"/>
          </w:tcPr>
          <w:p w14:paraId="550E0FE4"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b/>
                <w:iCs/>
                <w:sz w:val="24"/>
              </w:rPr>
            </w:pPr>
            <w:r w:rsidRPr="002B219D">
              <w:rPr>
                <w:rFonts w:ascii="Times New Roman" w:hAnsi="Times New Roman"/>
                <w:b/>
                <w:sz w:val="24"/>
              </w:rPr>
              <w:t xml:space="preserve">T. sk. nodrošināti ar finanšu garantijām </w:t>
            </w:r>
          </w:p>
          <w:p w14:paraId="17847CC4"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iCs/>
                <w:sz w:val="24"/>
              </w:rPr>
            </w:pPr>
            <w:r w:rsidRPr="002B219D">
              <w:rPr>
                <w:rFonts w:ascii="Times New Roman" w:hAnsi="Times New Roman"/>
                <w:sz w:val="24"/>
              </w:rPr>
              <w:t>Šī ir šīs veidnes b ailes apakškopa, un tajā norāda ar garantijām nodrošināto riska darījumu (bez atskaitījumiem / vērtības samazinājumiem) vai riska darījumu daļu uzskaites vērtību. Ja riska darījums ir nodrošināts ar garantijām un citu(-</w:t>
            </w:r>
            <w:proofErr w:type="spellStart"/>
            <w:r w:rsidRPr="002B219D">
              <w:rPr>
                <w:rFonts w:ascii="Times New Roman" w:hAnsi="Times New Roman"/>
                <w:sz w:val="24"/>
              </w:rPr>
              <w:t>ām</w:t>
            </w:r>
            <w:proofErr w:type="spellEnd"/>
            <w:r w:rsidRPr="002B219D">
              <w:rPr>
                <w:rFonts w:ascii="Times New Roman" w:hAnsi="Times New Roman"/>
                <w:sz w:val="24"/>
              </w:rPr>
              <w:t>) kredītriska mazināšanas metodi(-</w:t>
            </w:r>
            <w:proofErr w:type="spellStart"/>
            <w:r w:rsidRPr="002B219D">
              <w:rPr>
                <w:rFonts w:ascii="Times New Roman" w:hAnsi="Times New Roman"/>
                <w:sz w:val="24"/>
              </w:rPr>
              <w:t>ēm</w:t>
            </w:r>
            <w:proofErr w:type="spellEnd"/>
            <w:r w:rsidRPr="002B219D">
              <w:rPr>
                <w:rFonts w:ascii="Times New Roman" w:hAnsi="Times New Roman"/>
                <w:sz w:val="24"/>
              </w:rPr>
              <w:t>), kas, kā paredzams, tiks pieprasīta(-</w:t>
            </w:r>
            <w:proofErr w:type="spellStart"/>
            <w:r w:rsidRPr="002B219D">
              <w:rPr>
                <w:rFonts w:ascii="Times New Roman" w:hAnsi="Times New Roman"/>
                <w:sz w:val="24"/>
              </w:rPr>
              <w:t>as</w:t>
            </w:r>
            <w:proofErr w:type="spellEnd"/>
            <w:r w:rsidRPr="002B219D">
              <w:rPr>
                <w:rFonts w:ascii="Times New Roman" w:hAnsi="Times New Roman"/>
                <w:sz w:val="24"/>
              </w:rPr>
              <w:t>) kā pirmā(-</w:t>
            </w:r>
            <w:proofErr w:type="spellStart"/>
            <w:r w:rsidRPr="002B219D">
              <w:rPr>
                <w:rFonts w:ascii="Times New Roman" w:hAnsi="Times New Roman"/>
                <w:sz w:val="24"/>
              </w:rPr>
              <w:t>ās</w:t>
            </w:r>
            <w:proofErr w:type="spellEnd"/>
            <w:r w:rsidRPr="002B219D">
              <w:rPr>
                <w:rFonts w:ascii="Times New Roman" w:hAnsi="Times New Roman"/>
                <w:sz w:val="24"/>
              </w:rPr>
              <w:t>) maksājuma neveikšanas gadījumā, ar garantijām nodrošinātā riska darījuma uzskaites vērtība ir riska darījuma atlikusī daļa pēc to riska darījuma daļu ņemšanas vērā, kas jau ir nodrošinātas ar citām kredītriska mazināšanas metodēm, līdz konkrētā riska darījuma uzskaites vērtībai.</w:t>
            </w:r>
          </w:p>
        </w:tc>
      </w:tr>
      <w:tr w:rsidR="001A67EA" w:rsidRPr="002B219D" w14:paraId="674417F3" w14:textId="77777777" w:rsidTr="004F3087">
        <w:trPr>
          <w:trHeight w:val="316"/>
        </w:trPr>
        <w:tc>
          <w:tcPr>
            <w:tcW w:w="1413" w:type="dxa"/>
          </w:tcPr>
          <w:p w14:paraId="0378E1B4"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sz w:val="24"/>
              </w:rPr>
            </w:pPr>
            <w:r w:rsidRPr="002B219D">
              <w:rPr>
                <w:rFonts w:ascii="Times New Roman" w:hAnsi="Times New Roman"/>
                <w:sz w:val="24"/>
              </w:rPr>
              <w:t>e</w:t>
            </w:r>
          </w:p>
        </w:tc>
        <w:tc>
          <w:tcPr>
            <w:tcW w:w="7654" w:type="dxa"/>
          </w:tcPr>
          <w:p w14:paraId="4F7777BA"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b/>
                <w:iCs/>
                <w:sz w:val="24"/>
              </w:rPr>
            </w:pPr>
            <w:r w:rsidRPr="002B219D">
              <w:rPr>
                <w:rFonts w:ascii="Times New Roman" w:hAnsi="Times New Roman"/>
                <w:b/>
                <w:sz w:val="24"/>
              </w:rPr>
              <w:t xml:space="preserve">T. sk. nodrošināti ar kredītu atvasinātajiem instrumentiem </w:t>
            </w:r>
          </w:p>
          <w:p w14:paraId="35390365" w14:textId="77777777" w:rsidR="001A67EA" w:rsidRPr="002B219D" w:rsidRDefault="001A67EA" w:rsidP="004F3087">
            <w:pPr>
              <w:autoSpaceDE w:val="0"/>
              <w:autoSpaceDN w:val="0"/>
              <w:adjustRightInd w:val="0"/>
              <w:spacing w:after="120"/>
              <w:jc w:val="both"/>
              <w:rPr>
                <w:rFonts w:ascii="Times New Roman" w:eastAsia="Times New Roman" w:hAnsi="Times New Roman" w:cs="Times New Roman"/>
                <w:iCs/>
                <w:sz w:val="24"/>
              </w:rPr>
            </w:pPr>
            <w:r w:rsidRPr="002B219D">
              <w:rPr>
                <w:rFonts w:ascii="Times New Roman" w:hAnsi="Times New Roman"/>
                <w:sz w:val="24"/>
              </w:rPr>
              <w:t xml:space="preserve">Šī ir šīs b ailes (finanšu garantijas) apakškopa, un tajā norāda ar kredītu atvasinātajiem instrumentiem nodrošināto riska darījumu (bez atskaitījumiem / vērtības samazinājumiem) vai riska darījumu daļu uzskaites vērtību. Ja riska darījums ir nodrošināts ar kredītu atvasinātajiem instrumentiem un citām kredītriska mazināšanas metodēm, kas, kā paredzams, tiks pieprasītas kā pirmās maksājuma neveikšanas gadījumā, ar kredītu </w:t>
            </w:r>
            <w:r w:rsidRPr="002B219D">
              <w:rPr>
                <w:rFonts w:ascii="Times New Roman" w:hAnsi="Times New Roman"/>
                <w:sz w:val="24"/>
              </w:rPr>
              <w:lastRenderedPageBreak/>
              <w:t xml:space="preserve">atvasinātajiem instrumentiem nodrošinātā riska darījuma uzskaites vērtība ir riska darījuma atlikusī daļa pēc to riska darījuma daļu ņemšanas vērā, kas jau ir nodrošinātas ar citām kredītriska mazināšanas metodēm, līdz konkrētā riska darījuma uzskaites vērtībai. </w:t>
            </w:r>
          </w:p>
        </w:tc>
      </w:tr>
    </w:tbl>
    <w:p w14:paraId="3A57B273" w14:textId="77777777" w:rsidR="001A67EA" w:rsidRPr="002B219D"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2B219D"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2B219D" w:rsidRDefault="001A67EA" w:rsidP="004F3087">
            <w:pPr>
              <w:autoSpaceDE w:val="0"/>
              <w:autoSpaceDN w:val="0"/>
              <w:adjustRightInd w:val="0"/>
              <w:spacing w:after="120"/>
              <w:rPr>
                <w:rFonts w:ascii="Times New Roman" w:hAnsi="Times New Roman" w:cs="Times New Roman"/>
                <w:b/>
                <w:sz w:val="24"/>
              </w:rPr>
            </w:pPr>
            <w:r w:rsidRPr="002B219D">
              <w:rPr>
                <w:rFonts w:ascii="Times New Roman" w:hAnsi="Times New Roman"/>
                <w:b/>
                <w:sz w:val="24"/>
              </w:rPr>
              <w:t>Atsauce uz rindu</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2B219D" w:rsidRDefault="001A67EA" w:rsidP="004F3087">
            <w:pPr>
              <w:spacing w:after="120"/>
              <w:rPr>
                <w:rFonts w:ascii="Times New Roman" w:hAnsi="Times New Roman" w:cs="Times New Roman"/>
                <w:b/>
                <w:sz w:val="24"/>
              </w:rPr>
            </w:pPr>
            <w:r w:rsidRPr="002B219D">
              <w:rPr>
                <w:rFonts w:ascii="Times New Roman" w:hAnsi="Times New Roman"/>
                <w:b/>
                <w:sz w:val="24"/>
              </w:rPr>
              <w:t>Atsauces uz tiesību aktiem un norādījumi</w:t>
            </w:r>
          </w:p>
        </w:tc>
      </w:tr>
      <w:tr w:rsidR="001A67EA" w:rsidRPr="002B219D"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2B219D"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2B219D" w:rsidRDefault="001A67EA" w:rsidP="004F3087">
            <w:pPr>
              <w:spacing w:after="120"/>
              <w:rPr>
                <w:rFonts w:ascii="Times New Roman" w:hAnsi="Times New Roman" w:cs="Times New Roman"/>
                <w:b/>
                <w:sz w:val="24"/>
              </w:rPr>
            </w:pPr>
            <w:r w:rsidRPr="002B219D">
              <w:rPr>
                <w:rFonts w:ascii="Times New Roman" w:hAnsi="Times New Roman"/>
                <w:b/>
                <w:sz w:val="24"/>
              </w:rPr>
              <w:t>Paskaidrojums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2B219D"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2B219D" w:rsidRDefault="001A67EA" w:rsidP="004F3087">
            <w:pPr>
              <w:spacing w:after="120"/>
              <w:jc w:val="both"/>
              <w:rPr>
                <w:rFonts w:ascii="Times New Roman" w:hAnsi="Times New Roman" w:cs="Times New Roman"/>
                <w:b/>
                <w:sz w:val="24"/>
                <w:u w:val="single"/>
                <w:lang w:val="lv-LV"/>
              </w:rPr>
            </w:pPr>
            <w:r w:rsidRPr="002B219D">
              <w:rPr>
                <w:rFonts w:ascii="Times New Roman" w:hAnsi="Times New Roman"/>
                <w:b/>
                <w:sz w:val="24"/>
                <w:u w:val="single"/>
                <w:lang w:val="lv-LV"/>
              </w:rPr>
              <w:t>Aizdevumi un avansi</w:t>
            </w:r>
          </w:p>
          <w:p w14:paraId="1DF552E0"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“Aizdevumi un avansi” ir iestādes turētie parāda instrumenti, kas nav vērtspapīri; šis postenis ietver “aizdevumus” saskaņā ar Regulu (ES) Nr. 1071/2013</w:t>
            </w:r>
            <w:r w:rsidRPr="002B219D">
              <w:rPr>
                <w:rStyle w:val="FootnoteReference"/>
                <w:rFonts w:ascii="Times New Roman" w:hAnsi="Times New Roman" w:cs="Times New Roman"/>
                <w:sz w:val="24"/>
                <w:lang w:val="lv-LV"/>
              </w:rPr>
              <w:footnoteReference w:id="2"/>
            </w:r>
            <w:r w:rsidRPr="002B219D">
              <w:rPr>
                <w:rFonts w:ascii="Times New Roman" w:hAnsi="Times New Roman"/>
                <w:sz w:val="24"/>
                <w:lang w:val="lv-LV"/>
              </w:rPr>
              <w:t xml:space="preserve"> (“ECB BP regula”), kā arī avansus, ko nevar klasificēt kā “aizdevumus” saskaņā ar ECB BP regulu, kā definēts Komisijas Īstenošanas regulas (ES) Nr. 680/2014</w:t>
            </w:r>
            <w:r w:rsidRPr="002B219D">
              <w:rPr>
                <w:rStyle w:val="FootnoteReference"/>
                <w:rFonts w:ascii="Times New Roman" w:hAnsi="Times New Roman" w:cs="Times New Roman"/>
                <w:sz w:val="24"/>
                <w:lang w:val="lv-LV"/>
              </w:rPr>
              <w:footnoteReference w:id="3"/>
            </w:r>
            <w:r w:rsidRPr="002B219D">
              <w:rPr>
                <w:rFonts w:ascii="Times New Roman" w:hAnsi="Times New Roman"/>
                <w:sz w:val="24"/>
                <w:lang w:val="lv-LV"/>
              </w:rPr>
              <w:t xml:space="preserve"> V pielikuma 1. daļas 32. punktā.</w:t>
            </w:r>
          </w:p>
        </w:tc>
      </w:tr>
      <w:tr w:rsidR="001A67EA" w:rsidRPr="002B219D"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2.</w:t>
            </w:r>
          </w:p>
        </w:tc>
        <w:tc>
          <w:tcPr>
            <w:tcW w:w="8266" w:type="dxa"/>
            <w:tcBorders>
              <w:top w:val="single" w:sz="4" w:space="0" w:color="auto"/>
              <w:left w:val="single" w:sz="4" w:space="0" w:color="auto"/>
              <w:right w:val="single" w:sz="4" w:space="0" w:color="auto"/>
            </w:tcBorders>
          </w:tcPr>
          <w:p w14:paraId="7DC4064C" w14:textId="77777777" w:rsidR="001A67EA" w:rsidRPr="002B219D" w:rsidRDefault="001A67EA" w:rsidP="004F3087">
            <w:pPr>
              <w:spacing w:after="120"/>
              <w:jc w:val="both"/>
              <w:rPr>
                <w:rFonts w:ascii="Times New Roman" w:hAnsi="Times New Roman" w:cs="Times New Roman"/>
                <w:b/>
                <w:sz w:val="24"/>
                <w:u w:val="single"/>
                <w:lang w:val="lv-LV"/>
              </w:rPr>
            </w:pPr>
            <w:r w:rsidRPr="002B219D">
              <w:rPr>
                <w:rFonts w:ascii="Times New Roman" w:hAnsi="Times New Roman"/>
                <w:b/>
                <w:sz w:val="24"/>
                <w:u w:val="single"/>
                <w:lang w:val="lv-LV"/>
              </w:rPr>
              <w:t>Parāda vērtspapīri</w:t>
            </w:r>
          </w:p>
          <w:p w14:paraId="64329DF3"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Parāda vērtspapīri ir iestādes turētie parāda instrumenti, kas emitēti kā vērtspapīri, kuri nav aizdevumi saskaņā ar ECB BP regulu, kā definēts Komisijas Īstenošanas regulas (ES) Nr. 680/2014 V pielikuma 1. daļas 31. punktā.</w:t>
            </w:r>
          </w:p>
        </w:tc>
      </w:tr>
      <w:tr w:rsidR="001A67EA" w:rsidRPr="002B219D"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3.</w:t>
            </w:r>
          </w:p>
        </w:tc>
        <w:tc>
          <w:tcPr>
            <w:tcW w:w="8266" w:type="dxa"/>
            <w:tcBorders>
              <w:top w:val="single" w:sz="4" w:space="0" w:color="auto"/>
              <w:left w:val="single" w:sz="4" w:space="0" w:color="auto"/>
              <w:right w:val="single" w:sz="4" w:space="0" w:color="auto"/>
            </w:tcBorders>
          </w:tcPr>
          <w:p w14:paraId="4015BF67" w14:textId="77777777" w:rsidR="001A67EA" w:rsidRPr="002B219D" w:rsidRDefault="001A67EA" w:rsidP="004F3087">
            <w:pPr>
              <w:spacing w:after="120"/>
              <w:jc w:val="both"/>
              <w:rPr>
                <w:rFonts w:ascii="Times New Roman" w:hAnsi="Times New Roman" w:cs="Times New Roman"/>
                <w:b/>
                <w:sz w:val="24"/>
                <w:u w:val="single"/>
                <w:lang w:val="lv-LV"/>
              </w:rPr>
            </w:pPr>
            <w:r w:rsidRPr="002B219D">
              <w:rPr>
                <w:rFonts w:ascii="Times New Roman" w:hAnsi="Times New Roman"/>
                <w:b/>
                <w:sz w:val="24"/>
                <w:u w:val="single"/>
                <w:lang w:val="lv-LV"/>
              </w:rPr>
              <w:t>Kopā</w:t>
            </w:r>
          </w:p>
          <w:p w14:paraId="1D5CA391"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Šīs veidnes 1. un 2. rindā norādīto vērtību summa.</w:t>
            </w:r>
          </w:p>
        </w:tc>
      </w:tr>
      <w:tr w:rsidR="001A67EA" w:rsidRPr="002B219D"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4.</w:t>
            </w:r>
          </w:p>
        </w:tc>
        <w:tc>
          <w:tcPr>
            <w:tcW w:w="8266" w:type="dxa"/>
            <w:tcBorders>
              <w:top w:val="single" w:sz="4" w:space="0" w:color="auto"/>
              <w:left w:val="single" w:sz="4" w:space="0" w:color="auto"/>
              <w:right w:val="single" w:sz="4" w:space="0" w:color="auto"/>
            </w:tcBorders>
          </w:tcPr>
          <w:p w14:paraId="6361D15E" w14:textId="77777777" w:rsidR="001A67EA" w:rsidRPr="002B219D" w:rsidRDefault="001A67EA" w:rsidP="004F3087">
            <w:pPr>
              <w:spacing w:after="120"/>
              <w:jc w:val="both"/>
              <w:rPr>
                <w:rFonts w:ascii="Times New Roman" w:hAnsi="Times New Roman" w:cs="Times New Roman"/>
                <w:b/>
                <w:sz w:val="24"/>
                <w:u w:val="single"/>
                <w:lang w:val="lv-LV"/>
              </w:rPr>
            </w:pPr>
            <w:r w:rsidRPr="002B219D">
              <w:rPr>
                <w:rFonts w:ascii="Times New Roman" w:hAnsi="Times New Roman"/>
                <w:b/>
                <w:sz w:val="24"/>
                <w:u w:val="single"/>
                <w:lang w:val="lv-LV"/>
              </w:rPr>
              <w:t>T. sk. ienākumus nenesoši riska darījumi</w:t>
            </w:r>
          </w:p>
          <w:p w14:paraId="3AA9E7C7"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xml:space="preserve">Ienākumus nenesoši riska darījumi saskaņā ar </w:t>
            </w:r>
            <w:r w:rsidRPr="002B219D">
              <w:rPr>
                <w:rFonts w:ascii="Times New Roman" w:hAnsi="Times New Roman"/>
                <w:i/>
                <w:sz w:val="24"/>
                <w:lang w:val="lv-LV"/>
              </w:rPr>
              <w:t>CRR</w:t>
            </w:r>
            <w:r w:rsidRPr="002B219D">
              <w:rPr>
                <w:rFonts w:ascii="Times New Roman" w:hAnsi="Times New Roman"/>
                <w:sz w:val="24"/>
                <w:lang w:val="lv-LV"/>
              </w:rPr>
              <w:t xml:space="preserve"> 47.a pantu</w:t>
            </w:r>
          </w:p>
        </w:tc>
      </w:tr>
      <w:tr w:rsidR="001A67EA" w:rsidRPr="002B219D"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EU 5.</w:t>
            </w:r>
          </w:p>
        </w:tc>
        <w:tc>
          <w:tcPr>
            <w:tcW w:w="8266" w:type="dxa"/>
            <w:tcBorders>
              <w:top w:val="single" w:sz="4" w:space="0" w:color="auto"/>
              <w:left w:val="single" w:sz="4" w:space="0" w:color="auto"/>
              <w:right w:val="single" w:sz="4" w:space="0" w:color="auto"/>
            </w:tcBorders>
          </w:tcPr>
          <w:p w14:paraId="0B9851BE" w14:textId="77777777" w:rsidR="001A67EA" w:rsidRPr="002B219D" w:rsidRDefault="001A67EA" w:rsidP="004F3087">
            <w:pPr>
              <w:spacing w:after="120"/>
              <w:jc w:val="both"/>
              <w:rPr>
                <w:rFonts w:ascii="Times New Roman" w:hAnsi="Times New Roman" w:cs="Times New Roman"/>
                <w:b/>
                <w:sz w:val="24"/>
                <w:u w:val="single"/>
                <w:lang w:val="lv-LV"/>
              </w:rPr>
            </w:pPr>
            <w:r w:rsidRPr="002B219D">
              <w:rPr>
                <w:rFonts w:ascii="Times New Roman" w:hAnsi="Times New Roman"/>
                <w:b/>
                <w:sz w:val="24"/>
                <w:u w:val="single"/>
                <w:lang w:val="lv-LV"/>
              </w:rPr>
              <w:t>T. sk. tādi, kuros netiek pildītas saistības</w:t>
            </w:r>
          </w:p>
          <w:p w14:paraId="6D84A962" w14:textId="77777777" w:rsidR="001A67EA" w:rsidRPr="002B219D" w:rsidRDefault="001A67EA" w:rsidP="004F3087">
            <w:pPr>
              <w:spacing w:after="120"/>
              <w:jc w:val="both"/>
              <w:rPr>
                <w:rFonts w:ascii="Times New Roman" w:hAnsi="Times New Roman" w:cs="Times New Roman"/>
                <w:sz w:val="24"/>
                <w:lang w:val="lv-LV"/>
              </w:rPr>
            </w:pPr>
            <w:r w:rsidRPr="002B219D">
              <w:rPr>
                <w:rFonts w:ascii="Times New Roman" w:hAnsi="Times New Roman"/>
                <w:sz w:val="24"/>
                <w:lang w:val="lv-LV"/>
              </w:rPr>
              <w:t xml:space="preserve">Riska darījumi, kuros netiek pildītas saistības, saskaņā ar </w:t>
            </w:r>
            <w:r w:rsidRPr="002B219D">
              <w:rPr>
                <w:rFonts w:ascii="Times New Roman" w:hAnsi="Times New Roman"/>
                <w:i/>
                <w:sz w:val="24"/>
                <w:lang w:val="lv-LV"/>
              </w:rPr>
              <w:t>CRR</w:t>
            </w:r>
            <w:r w:rsidRPr="002B219D">
              <w:rPr>
                <w:rFonts w:ascii="Times New Roman" w:hAnsi="Times New Roman"/>
                <w:sz w:val="24"/>
                <w:lang w:val="lv-LV"/>
              </w:rPr>
              <w:t xml:space="preserve"> 178. pantu</w:t>
            </w:r>
          </w:p>
        </w:tc>
      </w:tr>
    </w:tbl>
    <w:p w14:paraId="11144359" w14:textId="77777777" w:rsidR="001A67EA" w:rsidRPr="002B219D" w:rsidRDefault="001A67EA" w:rsidP="001A67EA">
      <w:pPr>
        <w:spacing w:after="120"/>
        <w:rPr>
          <w:rFonts w:ascii="Times New Roman" w:hAnsi="Times New Roman" w:cs="Times New Roman"/>
          <w:sz w:val="24"/>
          <w:highlight w:val="yellow"/>
        </w:rPr>
      </w:pPr>
    </w:p>
    <w:p w14:paraId="516865D4" w14:textId="77777777" w:rsidR="001A67EA" w:rsidRPr="002B219D" w:rsidRDefault="001A67EA" w:rsidP="001A67EA">
      <w:pPr>
        <w:spacing w:after="120"/>
        <w:rPr>
          <w:rFonts w:ascii="Times New Roman" w:hAnsi="Times New Roman" w:cs="Times New Roman"/>
          <w:sz w:val="24"/>
          <w:highlight w:val="yellow"/>
        </w:rPr>
      </w:pPr>
    </w:p>
    <w:p w14:paraId="2D174E35" w14:textId="77777777" w:rsidR="00993FC2" w:rsidRPr="002B219D" w:rsidRDefault="00993FC2" w:rsidP="001A67EA"/>
    <w:sectPr w:rsidR="00993FC2" w:rsidRPr="002B219D">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 xml:space="preserve"> </w:t>
      </w:r>
      <w:r>
        <w:tab/>
        <w:t xml:space="preserve">Eiropas Parlamenta un Padomes Regula (ES) Nr. 575/2013 (2013. gada 26. jūnijs) par </w:t>
      </w:r>
      <w:proofErr w:type="spellStart"/>
      <w:r>
        <w:t>prudenciālajām</w:t>
      </w:r>
      <w:proofErr w:type="spellEnd"/>
      <w:r>
        <w:t xml:space="preserve"> prasībām attiecībā uz kredītiestādēm, un ar ko groza Regulu (ES) Nr. 648/2012, kas grozīta ar Regulu (ES) 2024/1623 </w:t>
      </w:r>
      <w:r>
        <w:rPr>
          <w:color w:val="444444"/>
        </w:rPr>
        <w:t>(</w:t>
      </w:r>
      <w:hyperlink r:id="rId1" w:history="1">
        <w:r>
          <w:rPr>
            <w:rStyle w:val="Hyperlink"/>
            <w:color w:val="800080"/>
          </w:rPr>
          <w:t>OV L 176, 27.6.2013., 1. lpp.</w:t>
        </w:r>
      </w:hyperlink>
      <w:r>
        <w:rPr>
          <w:color w:val="800080"/>
          <w:u w:val="single"/>
        </w:rPr>
        <w:t xml:space="preserve">; </w:t>
      </w:r>
      <w:hyperlink r:id="rId2" w:history="1">
        <w:r>
          <w:rPr>
            <w:rStyle w:val="Hyperlink"/>
          </w:rPr>
          <w:t>Regula – ES – 2024/1623 – LV – EUR-</w:t>
        </w:r>
        <w:proofErr w:type="spellStart"/>
        <w:r>
          <w:rPr>
            <w:rStyle w:val="Hyperlink"/>
          </w:rPr>
          <w:t>Lex</w:t>
        </w:r>
        <w:proofErr w:type="spellEnd"/>
        <w:r>
          <w:rPr>
            <w:rStyle w:val="Hyperlink"/>
          </w:rPr>
          <w:t xml:space="preserve"> (europa.eu)</w:t>
        </w:r>
      </w:hyperlink>
      <w:r>
        <w:rPr>
          <w:color w:val="444444"/>
        </w:rPr>
        <w:t>)</w:t>
      </w:r>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r>
      <w:r>
        <w:t>EIROPAS CENTRĀLĀS BANKAS REGULA (ES) Nr. 1071/2013 (2013. gada 24. septembris) par monetāro finanšu iestāžu sektora bilanci (ECB/2013/33) (OV L 297, 7.11.2013., 1. lpp.).</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r>
      <w:r>
        <w:t>KOMISIJAS ĪSTENOŠANAS REGULA (ES) Nr. 680/2014 (2014. gada 16. aprīlis), ar ko nosaka īstenošanas tehniskos standartus attiecībā uz iestāžu sniegtajiem uzraudzības pārskatiem saskaņā ar Eiropas Parlamenta un Padomes Regulu (ES) Nr. 575/2013 (OV L 191, 28.6.2014.,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2B219D"/>
    <w:rsid w:val="00382C49"/>
    <w:rsid w:val="004E6337"/>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F46E90-513F-4A47-BE39-5C94C668298A}"/>
</file>

<file path=customXml/itemProps2.xml><?xml version="1.0" encoding="utf-8"?>
<ds:datastoreItem xmlns:ds="http://schemas.openxmlformats.org/officeDocument/2006/customXml" ds:itemID="{088B2889-B87D-4D9F-AF53-89442BB4AC88}"/>
</file>

<file path=customXml/itemProps3.xml><?xml version="1.0" encoding="utf-8"?>
<ds:datastoreItem xmlns:ds="http://schemas.openxmlformats.org/officeDocument/2006/customXml" ds:itemID="{8E45D2A2-7C4F-4190-B53A-4AC44767321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1242</Words>
  <Characters>8286</Characters>
  <Application>Microsoft Office Word</Application>
  <DocSecurity>0</DocSecurity>
  <Lines>197</Lines>
  <Paragraphs>80</Paragraphs>
  <ScaleCrop>false</ScaleCrop>
  <Company>XXXXXXX</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KALLUDRA Ilir (LUX-S2FRC)</cp:lastModifiedBy>
  <cp:revision>5</cp:revision>
  <dcterms:created xsi:type="dcterms:W3CDTF">2021-03-11T13:17:00Z</dcterms:created>
  <dcterms:modified xsi:type="dcterms:W3CDTF">2024-10-18T12:02:00Z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